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0DADA0FD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037DB5">
        <w:rPr>
          <w:rFonts w:ascii="Arial" w:hAnsi="Arial" w:cs="Arial"/>
          <w:sz w:val="28"/>
          <w:szCs w:val="28"/>
        </w:rPr>
        <w:t>8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037DB5">
        <w:rPr>
          <w:rFonts w:ascii="Arial" w:hAnsi="Arial" w:cs="Arial"/>
          <w:sz w:val="28"/>
          <w:szCs w:val="28"/>
        </w:rPr>
        <w:t>Pelhřimovsko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4B4AFBA1" w:rsidR="002577AB" w:rsidRPr="00385148" w:rsidRDefault="00037DB5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Duben 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 xml:space="preserve">eShop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4F16674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3186A121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Předprodejní a informační kancelář j</w:t>
      </w:r>
      <w:r w:rsidR="00AF6776">
        <w:rPr>
          <w:rFonts w:ascii="Arial" w:hAnsi="Arial" w:cs="Arial"/>
        </w:rPr>
        <w:t>e v oblasti Pelhřimovsko v kategorii A</w:t>
      </w:r>
      <w:r w:rsidRPr="00456A0D">
        <w:rPr>
          <w:rFonts w:ascii="Arial" w:hAnsi="Arial" w:cs="Arial"/>
        </w:rPr>
        <w:t xml:space="preserve"> 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4838301" w14:textId="14E045FC" w:rsidR="001267E3" w:rsidRPr="00456A0D" w:rsidRDefault="00037DB5" w:rsidP="001267E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Pelhřimov</w:t>
      </w:r>
      <w:r w:rsidR="001267E3" w:rsidRPr="00456A0D">
        <w:rPr>
          <w:rFonts w:ascii="Arial" w:hAnsi="Arial" w:cs="Arial"/>
        </w:rPr>
        <w:t xml:space="preserve"> – 1 předprodejní a informační kancelář</w:t>
      </w:r>
    </w:p>
    <w:p w14:paraId="24B25C15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autobusová zastávka Pelhřimov,,aut. nádr.</w:t>
      </w:r>
    </w:p>
    <w:p w14:paraId="698351D7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6DE7987E" w14:textId="77777777" w:rsidR="00037DB5" w:rsidRDefault="00037DB5" w:rsidP="00037DB5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6E2BA289" w14:textId="6DA0B77A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lastRenderedPageBreak/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7BB5F" w14:textId="77777777" w:rsidR="00A70525" w:rsidRDefault="00A70525" w:rsidP="001C33B7">
      <w:pPr>
        <w:spacing w:after="0" w:line="240" w:lineRule="auto"/>
      </w:pPr>
      <w:r>
        <w:separator/>
      </w:r>
    </w:p>
  </w:endnote>
  <w:endnote w:type="continuationSeparator" w:id="0">
    <w:p w14:paraId="5F29A720" w14:textId="77777777" w:rsidR="00A70525" w:rsidRDefault="00A70525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400D4A2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776">
          <w:rPr>
            <w:noProof/>
          </w:rPr>
          <w:t>3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A61CC" w14:textId="77777777" w:rsidR="00A70525" w:rsidRDefault="00A70525" w:rsidP="001C33B7">
      <w:pPr>
        <w:spacing w:after="0" w:line="240" w:lineRule="auto"/>
      </w:pPr>
      <w:r>
        <w:separator/>
      </w:r>
    </w:p>
  </w:footnote>
  <w:footnote w:type="continuationSeparator" w:id="0">
    <w:p w14:paraId="6601FF70" w14:textId="77777777" w:rsidR="00A70525" w:rsidRDefault="00A70525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2089843441">
    <w:abstractNumId w:val="0"/>
  </w:num>
  <w:num w:numId="2" w16cid:durableId="1323000984">
    <w:abstractNumId w:val="1"/>
  </w:num>
  <w:num w:numId="3" w16cid:durableId="1569267081">
    <w:abstractNumId w:val="4"/>
  </w:num>
  <w:num w:numId="4" w16cid:durableId="1474562373">
    <w:abstractNumId w:val="2"/>
  </w:num>
  <w:num w:numId="5" w16cid:durableId="1351754874">
    <w:abstractNumId w:val="3"/>
  </w:num>
  <w:num w:numId="6" w16cid:durableId="1377005938">
    <w:abstractNumId w:val="2"/>
  </w:num>
  <w:num w:numId="7" w16cid:durableId="1323775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DB5"/>
    <w:rsid w:val="00053D57"/>
    <w:rsid w:val="00056F78"/>
    <w:rsid w:val="00061E27"/>
    <w:rsid w:val="000F0EF4"/>
    <w:rsid w:val="001267E3"/>
    <w:rsid w:val="00140071"/>
    <w:rsid w:val="001C33B7"/>
    <w:rsid w:val="00237450"/>
    <w:rsid w:val="002577AB"/>
    <w:rsid w:val="0036653D"/>
    <w:rsid w:val="00385148"/>
    <w:rsid w:val="003E1F3F"/>
    <w:rsid w:val="004544BD"/>
    <w:rsid w:val="005B6002"/>
    <w:rsid w:val="00644C19"/>
    <w:rsid w:val="00701683"/>
    <w:rsid w:val="007768C1"/>
    <w:rsid w:val="0081647B"/>
    <w:rsid w:val="008E01D4"/>
    <w:rsid w:val="008E1CBF"/>
    <w:rsid w:val="0094390E"/>
    <w:rsid w:val="009575F1"/>
    <w:rsid w:val="00976429"/>
    <w:rsid w:val="009B6143"/>
    <w:rsid w:val="00A3774B"/>
    <w:rsid w:val="00A46E1C"/>
    <w:rsid w:val="00A5155F"/>
    <w:rsid w:val="00A70525"/>
    <w:rsid w:val="00A70718"/>
    <w:rsid w:val="00AF6776"/>
    <w:rsid w:val="00BC38B3"/>
    <w:rsid w:val="00BC7986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FDFCC-3460-451E-A3D9-C96C75BB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968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Tomáš Fučík</cp:lastModifiedBy>
  <cp:revision>3</cp:revision>
  <dcterms:created xsi:type="dcterms:W3CDTF">2024-05-27T10:24:00Z</dcterms:created>
  <dcterms:modified xsi:type="dcterms:W3CDTF">2024-05-27T13:41:00Z</dcterms:modified>
</cp:coreProperties>
</file>